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sz w:val="24"/>
          <w:szCs w:val="24"/>
          <w:u w:val="single"/>
          <w:rtl w:val="0"/>
        </w:rPr>
        <w:t xml:space="preserve">Read the conversation below with friends or family, then write in narrative what do you think the conversation about.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Phone conversation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Ring…ring….ring…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halo, selamat siang kadek”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Kadek:” halo Rina, apa kabar?”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saya baik. Ada apa kamu menelepon?”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Kadek:” hari ini ada film bagus di bioskop, apa kamu mau pergi ke bioskop dengan saya?”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Rina:”wah, ada film apa?”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Kadek:” ada film “Radio Galau”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baiklah, jam berapa kita pergi ke bioskop?”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 :”jam 5 sore”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Rina:”apa kamu sudah membeli tiket?”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 :”belum, kita bisa membeli tiket sebelum film mulai. Film akan mulai jam 6 sore,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kamu naik apa ke bioskop?”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Kadek:” saya akan naik taksi, dan kamu?”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saya akan naik bis saja. Dimana kita bisa membeli makanan?”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Kadek:” di depan bioskop ada toko kecil, kita bisa membeli makanan disana”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Rina:” baiklah, sampai jumpa ya”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Kadek :”sampai jumpa”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190500</wp:posOffset>
                </wp:positionV>
                <wp:extent cx="3441700" cy="2235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6419" y="2660883"/>
                          <a:ext cx="3439159" cy="2238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Common expressions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Apa kamu mau…… (inviting) do you want to………………..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Jam berapa ……………what time?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Kamu naik apa? – how do you go to……….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Apa kamu sudah……? – have you…………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Ada apa? – what’s wrong? What’s up?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Belum – not yet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190500</wp:posOffset>
                </wp:positionV>
                <wp:extent cx="3441700" cy="22352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7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152400</wp:posOffset>
                </wp:positionV>
                <wp:extent cx="1739900" cy="194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79367" y="2811008"/>
                          <a:ext cx="1733265" cy="193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Membeli : buy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Menonton : watch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Mulai : start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Sebelum : before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Tiket : ticket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Akan - will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152400</wp:posOffset>
                </wp:positionV>
                <wp:extent cx="1739900" cy="1943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9900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What do you think the conversation about?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Overlock" w:cs="Overlock" w:eastAsia="Overlock" w:hAnsi="Overlock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Overlock" w:cs="Overlock" w:eastAsia="Overlock" w:hAnsi="Overlock"/>
          <w:b w:val="1"/>
          <w:rtl w:val="0"/>
        </w:rPr>
        <w:t xml:space="preserve">Your turn!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Make a short dialogue like the example above, about calling a friend to invite him/her going somewhere with you. (pantai, mal, bioskop, taman, toko buku)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Overlock" w:cs="Overlock" w:eastAsia="Overlock" w:hAnsi="Overlock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